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612" w:type="dxa"/>
        <w:tblLook w:val="04A0"/>
      </w:tblPr>
      <w:tblGrid>
        <w:gridCol w:w="4320"/>
        <w:gridCol w:w="6300"/>
      </w:tblGrid>
      <w:tr w:rsidR="00B30D45" w:rsidRPr="00B30D45" w:rsidTr="00C25FB7">
        <w:tc>
          <w:tcPr>
            <w:tcW w:w="4320" w:type="dxa"/>
            <w:shd w:val="clear" w:color="auto" w:fill="auto"/>
          </w:tcPr>
          <w:p w:rsidR="008756C1" w:rsidRPr="00B30D45" w:rsidRDefault="008756C1" w:rsidP="00727AC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30D45">
              <w:rPr>
                <w:b/>
                <w:sz w:val="26"/>
                <w:szCs w:val="26"/>
                <w:lang w:val="vi-VN"/>
              </w:rPr>
              <w:t>CÔNG TY ĐẤU GIÁ</w:t>
            </w:r>
            <w:r w:rsidRPr="00B30D45">
              <w:rPr>
                <w:b/>
                <w:sz w:val="26"/>
                <w:szCs w:val="26"/>
              </w:rPr>
              <w:t xml:space="preserve"> HỢP DANH</w:t>
            </w:r>
          </w:p>
          <w:p w:rsidR="008756C1" w:rsidRPr="00C66D24" w:rsidRDefault="00C66D24" w:rsidP="00727A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THIÊN LONG</w:t>
            </w:r>
          </w:p>
          <w:p w:rsidR="008756C1" w:rsidRPr="00B30D45" w:rsidRDefault="00B74E2C" w:rsidP="00727AC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74E2C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74.95pt;margin-top:2.85pt;width:46.9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WIJA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"/>
              </w:pict>
            </w:r>
          </w:p>
          <w:p w:rsidR="008756C1" w:rsidRPr="00B30D45" w:rsidRDefault="008756C1" w:rsidP="00727AC3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6300" w:type="dxa"/>
            <w:shd w:val="clear" w:color="auto" w:fill="auto"/>
          </w:tcPr>
          <w:p w:rsidR="008756C1" w:rsidRPr="00B30D45" w:rsidRDefault="008756C1" w:rsidP="00727AC3">
            <w:pPr>
              <w:spacing w:line="276" w:lineRule="auto"/>
              <w:ind w:left="-108"/>
              <w:jc w:val="center"/>
              <w:rPr>
                <w:b/>
                <w:sz w:val="26"/>
                <w:szCs w:val="26"/>
                <w:lang w:val="vi-VN"/>
              </w:rPr>
            </w:pPr>
            <w:r w:rsidRPr="00B30D45">
              <w:rPr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:rsidR="008756C1" w:rsidRPr="00B30D45" w:rsidRDefault="008756C1" w:rsidP="00727AC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30D45">
              <w:rPr>
                <w:b/>
                <w:sz w:val="26"/>
                <w:szCs w:val="26"/>
              </w:rPr>
              <w:t>Độc lập – Tự do – Hạnh phúc</w:t>
            </w:r>
          </w:p>
          <w:p w:rsidR="008756C1" w:rsidRPr="00B30D45" w:rsidRDefault="00B74E2C" w:rsidP="00727AC3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pict>
                <v:shape id="Straight Arrow Connector 1" o:spid="_x0000_s1027" type="#_x0000_t32" style="position:absolute;left:0;text-align:left;margin-left:72.85pt;margin-top:1.8pt;width:156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"/>
              </w:pict>
            </w:r>
          </w:p>
          <w:p w:rsidR="008756C1" w:rsidRPr="00B30D45" w:rsidRDefault="00AC6289" w:rsidP="00AD08F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Khánh Hòa</w:t>
            </w:r>
            <w:r w:rsidR="008756C1" w:rsidRPr="00B30D45">
              <w:rPr>
                <w:i/>
                <w:sz w:val="26"/>
                <w:szCs w:val="26"/>
              </w:rPr>
              <w:t>, ngày</w:t>
            </w:r>
            <w:r w:rsidR="005E23AF">
              <w:rPr>
                <w:i/>
                <w:sz w:val="26"/>
                <w:szCs w:val="26"/>
              </w:rPr>
              <w:t xml:space="preserve"> </w:t>
            </w:r>
            <w:r w:rsidR="002F1606">
              <w:rPr>
                <w:i/>
                <w:sz w:val="26"/>
                <w:szCs w:val="26"/>
              </w:rPr>
              <w:t>10</w:t>
            </w:r>
            <w:r w:rsidR="008756C1" w:rsidRPr="00B30D45">
              <w:rPr>
                <w:i/>
                <w:sz w:val="26"/>
                <w:szCs w:val="26"/>
              </w:rPr>
              <w:t xml:space="preserve"> tháng </w:t>
            </w:r>
            <w:r w:rsidR="00AD08FE">
              <w:rPr>
                <w:i/>
                <w:sz w:val="26"/>
                <w:szCs w:val="26"/>
              </w:rPr>
              <w:t>04</w:t>
            </w:r>
            <w:r w:rsidR="008756C1" w:rsidRPr="00B30D45">
              <w:rPr>
                <w:i/>
                <w:sz w:val="26"/>
                <w:szCs w:val="26"/>
              </w:rPr>
              <w:t xml:space="preserve"> năm 202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</w:tbl>
    <w:p w:rsidR="00E318AB" w:rsidRPr="00B30D45" w:rsidRDefault="00E318AB" w:rsidP="00727AC3">
      <w:pPr>
        <w:spacing w:line="276" w:lineRule="auto"/>
        <w:rPr>
          <w:sz w:val="26"/>
          <w:szCs w:val="26"/>
        </w:rPr>
      </w:pPr>
    </w:p>
    <w:p w:rsidR="001D0677" w:rsidRPr="00B30D45" w:rsidRDefault="001D0677" w:rsidP="00727AC3">
      <w:pPr>
        <w:spacing w:line="276" w:lineRule="auto"/>
        <w:ind w:left="567" w:right="567"/>
        <w:jc w:val="center"/>
        <w:rPr>
          <w:b/>
          <w:sz w:val="26"/>
          <w:szCs w:val="26"/>
        </w:rPr>
      </w:pPr>
      <w:r w:rsidRPr="00B30D45">
        <w:rPr>
          <w:b/>
          <w:sz w:val="26"/>
          <w:szCs w:val="26"/>
        </w:rPr>
        <w:t>THÔNG BÁO</w:t>
      </w:r>
    </w:p>
    <w:p w:rsidR="006F6AA2" w:rsidRPr="00B30D45" w:rsidRDefault="008756C1" w:rsidP="00727AC3">
      <w:pPr>
        <w:spacing w:line="276" w:lineRule="auto"/>
        <w:ind w:left="567" w:right="567"/>
        <w:jc w:val="center"/>
        <w:rPr>
          <w:b/>
          <w:sz w:val="26"/>
          <w:szCs w:val="26"/>
        </w:rPr>
      </w:pPr>
      <w:r w:rsidRPr="00B30D45">
        <w:rPr>
          <w:b/>
          <w:sz w:val="26"/>
          <w:szCs w:val="26"/>
        </w:rPr>
        <w:t xml:space="preserve">DANH SÁCH KHÁCH HÀNG KHÔNG ĐỦ ĐIỀU KIỆN </w:t>
      </w:r>
    </w:p>
    <w:p w:rsidR="008756C1" w:rsidRPr="00B30D45" w:rsidRDefault="008756C1" w:rsidP="00727AC3">
      <w:pPr>
        <w:spacing w:line="276" w:lineRule="auto"/>
        <w:ind w:left="567" w:right="567"/>
        <w:jc w:val="center"/>
        <w:rPr>
          <w:b/>
          <w:sz w:val="26"/>
          <w:szCs w:val="26"/>
        </w:rPr>
      </w:pPr>
      <w:r w:rsidRPr="00B30D45">
        <w:rPr>
          <w:b/>
          <w:sz w:val="26"/>
          <w:szCs w:val="26"/>
        </w:rPr>
        <w:t xml:space="preserve">THAM </w:t>
      </w:r>
      <w:r w:rsidR="00B85E1C" w:rsidRPr="00B30D45">
        <w:rPr>
          <w:b/>
          <w:sz w:val="26"/>
          <w:szCs w:val="26"/>
          <w:lang w:val="vi-VN"/>
        </w:rPr>
        <w:t>GIA</w:t>
      </w:r>
      <w:r w:rsidRPr="00B30D45">
        <w:rPr>
          <w:b/>
          <w:sz w:val="26"/>
          <w:szCs w:val="26"/>
        </w:rPr>
        <w:t xml:space="preserve"> ĐẤU GIÁ TÀI SẢN</w:t>
      </w:r>
    </w:p>
    <w:p w:rsidR="006F6AA2" w:rsidRPr="00B30D45" w:rsidRDefault="006F6AA2" w:rsidP="00727AC3">
      <w:pPr>
        <w:spacing w:line="276" w:lineRule="auto"/>
        <w:rPr>
          <w:b/>
          <w:sz w:val="26"/>
          <w:szCs w:val="26"/>
        </w:rPr>
      </w:pPr>
    </w:p>
    <w:p w:rsidR="006F6AA2" w:rsidRPr="004104D2" w:rsidRDefault="006F6AA2" w:rsidP="0009210B">
      <w:pPr>
        <w:spacing w:line="276" w:lineRule="auto"/>
        <w:ind w:firstLine="709"/>
        <w:jc w:val="both"/>
        <w:rPr>
          <w:sz w:val="28"/>
          <w:szCs w:val="28"/>
        </w:rPr>
      </w:pPr>
      <w:r w:rsidRPr="004104D2">
        <w:rPr>
          <w:sz w:val="28"/>
          <w:szCs w:val="28"/>
        </w:rPr>
        <w:t>Tổ chức</w:t>
      </w:r>
      <w:r w:rsidR="00727AC3" w:rsidRPr="004104D2">
        <w:rPr>
          <w:sz w:val="28"/>
          <w:szCs w:val="28"/>
          <w:lang w:val="vi-VN"/>
        </w:rPr>
        <w:t xml:space="preserve"> hành nghề</w:t>
      </w:r>
      <w:r w:rsidRPr="004104D2">
        <w:rPr>
          <w:sz w:val="28"/>
          <w:szCs w:val="28"/>
        </w:rPr>
        <w:t xml:space="preserve"> đấu giá tài sản: </w:t>
      </w:r>
      <w:r w:rsidR="00E908F7" w:rsidRPr="004104D2">
        <w:rPr>
          <w:rFonts w:eastAsia="Calibri" w:cs=".VnTime"/>
          <w:noProof/>
          <w:spacing w:val="-4"/>
          <w:sz w:val="28"/>
          <w:szCs w:val="28"/>
          <w:lang w:val="vi-VN"/>
        </w:rPr>
        <w:t xml:space="preserve">Công ty </w:t>
      </w:r>
      <w:r w:rsidR="00E908F7" w:rsidRPr="004104D2">
        <w:rPr>
          <w:rFonts w:eastAsia="Calibri" w:cs=".VnTime"/>
          <w:noProof/>
          <w:spacing w:val="-4"/>
          <w:sz w:val="28"/>
          <w:szCs w:val="28"/>
          <w:lang w:val="en-GB"/>
        </w:rPr>
        <w:t>Đ</w:t>
      </w:r>
      <w:r w:rsidR="00E908F7" w:rsidRPr="004104D2">
        <w:rPr>
          <w:rFonts w:eastAsia="Calibri" w:cs=".VnTime"/>
          <w:noProof/>
          <w:spacing w:val="-4"/>
          <w:sz w:val="28"/>
          <w:szCs w:val="28"/>
          <w:lang w:val="vi-VN"/>
        </w:rPr>
        <w:t>ấu giá Hợp danh Thiên Long</w:t>
      </w:r>
      <w:r w:rsidR="00E908F7" w:rsidRPr="004104D2">
        <w:rPr>
          <w:rFonts w:eastAsia="Calibri" w:cs=".VnTime"/>
          <w:noProof/>
          <w:spacing w:val="-4"/>
          <w:sz w:val="28"/>
          <w:szCs w:val="28"/>
        </w:rPr>
        <w:t xml:space="preserve">, địa chỉ: </w:t>
      </w:r>
      <w:r w:rsidR="00E908F7" w:rsidRPr="004104D2">
        <w:rPr>
          <w:rFonts w:cs=".VnTime"/>
          <w:sz w:val="28"/>
          <w:szCs w:val="28"/>
          <w:lang w:val="nl-NL"/>
        </w:rPr>
        <w:t>số 15A Trần Khánh Dư, phường Nha Trang, tỉnh Khánh Hòa</w:t>
      </w:r>
      <w:r w:rsidRPr="004104D2">
        <w:rPr>
          <w:sz w:val="28"/>
          <w:szCs w:val="28"/>
        </w:rPr>
        <w:t>.</w:t>
      </w:r>
    </w:p>
    <w:p w:rsidR="005107F8" w:rsidRPr="004104D2" w:rsidRDefault="006F6AA2" w:rsidP="0009210B">
      <w:pPr>
        <w:spacing w:line="276" w:lineRule="auto"/>
        <w:ind w:firstLine="709"/>
        <w:jc w:val="both"/>
        <w:rPr>
          <w:sz w:val="28"/>
          <w:szCs w:val="28"/>
        </w:rPr>
      </w:pPr>
      <w:r w:rsidRPr="004104D2">
        <w:rPr>
          <w:sz w:val="28"/>
          <w:szCs w:val="28"/>
        </w:rPr>
        <w:t>Người có tài sản đấu giá:</w:t>
      </w:r>
      <w:r w:rsidR="002F1606">
        <w:rPr>
          <w:sz w:val="28"/>
          <w:szCs w:val="28"/>
        </w:rPr>
        <w:t xml:space="preserve"> </w:t>
      </w:r>
      <w:r w:rsidR="00F65E8B" w:rsidRPr="00AD0DCB">
        <w:rPr>
          <w:color w:val="FF0000"/>
          <w:szCs w:val="26"/>
        </w:rPr>
        <w:t>Bảo đảm an toàn hàng hải Nam Trung Bộ</w:t>
      </w:r>
      <w:r w:rsidR="00F65E8B" w:rsidRPr="00AD0DCB">
        <w:rPr>
          <w:rFonts w:eastAsia="Calibri"/>
          <w:spacing w:val="-2"/>
          <w:sz w:val="26"/>
          <w:szCs w:val="26"/>
        </w:rPr>
        <w:t xml:space="preserve">. </w:t>
      </w:r>
      <w:r w:rsidR="00F65E8B" w:rsidRPr="00AD0DCB">
        <w:rPr>
          <w:rFonts w:eastAsia="Calibri"/>
          <w:spacing w:val="-2"/>
          <w:szCs w:val="26"/>
        </w:rPr>
        <w:t xml:space="preserve">Địa chỉ: </w:t>
      </w:r>
      <w:r w:rsidR="00F65E8B" w:rsidRPr="00AD0DCB">
        <w:rPr>
          <w:lang w:val="it-IT" w:eastAsia="vi-VN"/>
        </w:rPr>
        <w:t>số 105 lô 2 Tô Hiệu, phường Nam Nha Trang, tỉnh Khánh Hòa</w:t>
      </w:r>
      <w:r w:rsidR="00205DF4" w:rsidRPr="004104D2">
        <w:rPr>
          <w:bCs/>
          <w:sz w:val="28"/>
          <w:szCs w:val="28"/>
        </w:rPr>
        <w:t>.</w:t>
      </w:r>
    </w:p>
    <w:p w:rsidR="00FD0731" w:rsidRDefault="009E03A7" w:rsidP="00B453D4">
      <w:pPr>
        <w:tabs>
          <w:tab w:val="num" w:pos="0"/>
          <w:tab w:val="left" w:pos="709"/>
        </w:tabs>
        <w:spacing w:after="80"/>
        <w:jc w:val="both"/>
        <w:rPr>
          <w:i/>
          <w:szCs w:val="26"/>
        </w:rPr>
      </w:pPr>
      <w:r w:rsidRPr="004104D2">
        <w:rPr>
          <w:b/>
          <w:bCs/>
          <w:sz w:val="28"/>
          <w:szCs w:val="28"/>
        </w:rPr>
        <w:tab/>
      </w:r>
      <w:r w:rsidR="0009210B">
        <w:rPr>
          <w:b/>
          <w:bCs/>
          <w:sz w:val="28"/>
          <w:szCs w:val="28"/>
        </w:rPr>
        <w:t xml:space="preserve">I. </w:t>
      </w:r>
      <w:r w:rsidR="00727AC3" w:rsidRPr="00135FD9">
        <w:rPr>
          <w:b/>
          <w:bCs/>
          <w:spacing w:val="2"/>
          <w:sz w:val="28"/>
          <w:szCs w:val="28"/>
          <w:lang w:val="vi-VN"/>
        </w:rPr>
        <w:t xml:space="preserve">Tên tài sản đấu giá: </w:t>
      </w:r>
      <w:r w:rsidR="00AF7F72" w:rsidRPr="00933478">
        <w:t>xe ô tô con hiệu Mitsubishi Pajero, màu xám, biển kiểm soát 79A-870.92 đã qua sử dụng thuộc quản lý của Bảo đảm an toàn hàng hải Nam Trung Bộ. Địa chỉ có tài sản: số 105 lô 2 Tô Hiệu, phường Nam Nha Trang, tỉnh Khánh Hòa</w:t>
      </w:r>
      <w:r w:rsidR="00A96BD1" w:rsidRPr="00135FD9">
        <w:rPr>
          <w:rFonts w:eastAsia="Arial"/>
          <w:bCs/>
          <w:spacing w:val="2"/>
          <w:sz w:val="28"/>
          <w:szCs w:val="28"/>
          <w:shd w:val="clear" w:color="auto" w:fill="FFFFFF"/>
        </w:rPr>
        <w:t>.</w:t>
      </w:r>
      <w:r w:rsidR="000A46C3">
        <w:rPr>
          <w:rFonts w:eastAsia="Arial"/>
          <w:bCs/>
          <w:spacing w:val="2"/>
          <w:sz w:val="28"/>
          <w:szCs w:val="28"/>
          <w:shd w:val="clear" w:color="auto" w:fill="FFFFFF"/>
        </w:rPr>
        <w:t xml:space="preserve"> </w:t>
      </w:r>
      <w:r w:rsidR="00A96BD1">
        <w:rPr>
          <w:rFonts w:eastAsia="Calibri"/>
          <w:b/>
          <w:spacing w:val="-2"/>
          <w:lang w:val="vi-VN"/>
        </w:rPr>
        <w:tab/>
      </w:r>
      <w:r w:rsidR="00A96BD1">
        <w:rPr>
          <w:rFonts w:eastAsia="Calibri"/>
          <w:b/>
          <w:spacing w:val="-2"/>
          <w:lang w:val="vi-VN"/>
        </w:rPr>
        <w:tab/>
      </w:r>
    </w:p>
    <w:p w:rsidR="003454BC" w:rsidRDefault="000A46C3" w:rsidP="003454BC">
      <w:pPr>
        <w:tabs>
          <w:tab w:val="num" w:pos="0"/>
          <w:tab w:val="left" w:pos="567"/>
        </w:tabs>
        <w:spacing w:after="120"/>
        <w:jc w:val="both"/>
        <w:rPr>
          <w:bCs/>
          <w:i/>
          <w:iCs/>
        </w:rPr>
      </w:pPr>
      <w:r>
        <w:rPr>
          <w:i/>
          <w:szCs w:val="26"/>
        </w:rPr>
        <w:tab/>
      </w:r>
      <w:r w:rsidR="003454BC">
        <w:rPr>
          <w:i/>
          <w:szCs w:val="26"/>
        </w:rPr>
        <w:tab/>
      </w:r>
      <w:r w:rsidR="0009210B">
        <w:rPr>
          <w:b/>
          <w:szCs w:val="26"/>
        </w:rPr>
        <w:t>II</w:t>
      </w:r>
      <w:r w:rsidR="00D425EF" w:rsidRPr="00D425EF">
        <w:rPr>
          <w:b/>
          <w:szCs w:val="26"/>
        </w:rPr>
        <w:t>.</w:t>
      </w:r>
      <w:r w:rsidR="00D425EF">
        <w:rPr>
          <w:i/>
          <w:szCs w:val="26"/>
        </w:rPr>
        <w:t xml:space="preserve"> </w:t>
      </w:r>
      <w:r w:rsidR="00B453D4">
        <w:rPr>
          <w:b/>
          <w:spacing w:val="-4"/>
        </w:rPr>
        <w:t>G</w:t>
      </w:r>
      <w:r w:rsidRPr="00390DD4">
        <w:rPr>
          <w:b/>
          <w:spacing w:val="-4"/>
        </w:rPr>
        <w:t xml:space="preserve">iá khởi điểm: </w:t>
      </w:r>
      <w:r w:rsidR="003454BC" w:rsidRPr="0019344D">
        <w:rPr>
          <w:rFonts w:eastAsia="Arial"/>
          <w:b/>
          <w:bCs/>
          <w:spacing w:val="3"/>
          <w:shd w:val="clear" w:color="auto" w:fill="FFFFFF"/>
          <w:lang w:val="en-GB"/>
        </w:rPr>
        <w:t xml:space="preserve">65.000.000 đồng </w:t>
      </w:r>
      <w:r w:rsidR="003454BC" w:rsidRPr="0019344D">
        <w:rPr>
          <w:rFonts w:eastAsia="Arial"/>
          <w:bCs/>
          <w:i/>
          <w:spacing w:val="3"/>
          <w:shd w:val="clear" w:color="auto" w:fill="FFFFFF"/>
          <w:lang w:val="en-GB"/>
        </w:rPr>
        <w:t>(Sáu mươi lăm triệu đồng).</w:t>
      </w:r>
    </w:p>
    <w:p w:rsidR="000A46C3" w:rsidRPr="000A46C3" w:rsidRDefault="003454BC" w:rsidP="003454BC">
      <w:pPr>
        <w:shd w:val="clear" w:color="auto" w:fill="FFFFFF"/>
        <w:spacing w:after="120"/>
        <w:jc w:val="both"/>
        <w:rPr>
          <w:b/>
          <w:szCs w:val="28"/>
        </w:rPr>
      </w:pPr>
      <w:r>
        <w:rPr>
          <w:bCs/>
          <w:i/>
          <w:iCs/>
        </w:rPr>
        <w:tab/>
      </w:r>
      <w:r w:rsidRPr="00430969">
        <w:rPr>
          <w:bCs/>
          <w:i/>
          <w:iCs/>
        </w:rPr>
        <w:t xml:space="preserve">* </w:t>
      </w:r>
      <w:r w:rsidRPr="00430969">
        <w:rPr>
          <w:bCs/>
          <w:i/>
          <w:iCs/>
          <w:spacing w:val="-4"/>
        </w:rPr>
        <w:t>Giá trên ch</w:t>
      </w:r>
      <w:r w:rsidRPr="00430969">
        <w:rPr>
          <w:rFonts w:hint="eastAsia"/>
          <w:bCs/>
          <w:i/>
          <w:iCs/>
          <w:spacing w:val="-4"/>
        </w:rPr>
        <w:t>ư</w:t>
      </w:r>
      <w:r w:rsidRPr="00430969">
        <w:rPr>
          <w:bCs/>
          <w:i/>
          <w:iCs/>
          <w:spacing w:val="-4"/>
        </w:rPr>
        <w:t>a bao gồm VAT, ch</w:t>
      </w:r>
      <w:r w:rsidRPr="00430969">
        <w:rPr>
          <w:rFonts w:hint="eastAsia"/>
          <w:bCs/>
          <w:i/>
          <w:iCs/>
          <w:spacing w:val="-4"/>
        </w:rPr>
        <w:t>ư</w:t>
      </w:r>
      <w:r w:rsidRPr="00430969">
        <w:rPr>
          <w:bCs/>
          <w:i/>
          <w:iCs/>
          <w:spacing w:val="-4"/>
        </w:rPr>
        <w:t>a bao gồm các loại thuế khác và các chi phí (phí bốc xếp, vận chuyển, bảo quản, xử lý tài sản…) có liên quan</w:t>
      </w:r>
      <w:r w:rsidRPr="00430969">
        <w:rPr>
          <w:i/>
          <w:spacing w:val="-4"/>
        </w:rPr>
        <w:t>.</w:t>
      </w:r>
    </w:p>
    <w:p w:rsidR="00950F4E" w:rsidRPr="004E401E" w:rsidRDefault="00A96BD1" w:rsidP="00F6242E">
      <w:pPr>
        <w:tabs>
          <w:tab w:val="num" w:pos="0"/>
          <w:tab w:val="left" w:pos="567"/>
        </w:tabs>
        <w:jc w:val="both"/>
        <w:rPr>
          <w:sz w:val="28"/>
          <w:szCs w:val="26"/>
          <w:lang w:val="nl-NL"/>
        </w:rPr>
      </w:pPr>
      <w:r>
        <w:rPr>
          <w:rFonts w:eastAsia="Calibri"/>
          <w:b/>
          <w:bCs/>
          <w:spacing w:val="-2"/>
          <w:lang w:val="vi-VN"/>
        </w:rPr>
        <w:tab/>
      </w:r>
      <w:r>
        <w:rPr>
          <w:rFonts w:eastAsia="Calibri"/>
          <w:b/>
          <w:bCs/>
          <w:spacing w:val="-2"/>
          <w:lang w:val="vi-VN"/>
        </w:rPr>
        <w:tab/>
      </w:r>
      <w:r w:rsidR="00582EDA" w:rsidRPr="00D30CED">
        <w:rPr>
          <w:sz w:val="28"/>
          <w:szCs w:val="26"/>
          <w:lang w:val="nl-NL"/>
        </w:rPr>
        <w:t xml:space="preserve">Công ty Đấu giá hợp danh </w:t>
      </w:r>
      <w:r w:rsidR="00D30CED">
        <w:rPr>
          <w:sz w:val="28"/>
          <w:szCs w:val="26"/>
          <w:lang w:val="nl-NL"/>
        </w:rPr>
        <w:t>Thiên Long</w:t>
      </w:r>
      <w:r w:rsidR="00582EDA" w:rsidRPr="00D30CED">
        <w:rPr>
          <w:sz w:val="28"/>
          <w:szCs w:val="26"/>
          <w:lang w:val="nl-NL"/>
        </w:rPr>
        <w:t xml:space="preserve"> xin thông báo: </w:t>
      </w:r>
      <w:r w:rsidR="001B7845" w:rsidRPr="004E401E">
        <w:rPr>
          <w:sz w:val="28"/>
          <w:szCs w:val="26"/>
          <w:lang w:val="nl-NL"/>
        </w:rPr>
        <w:t>Danh sách khách hàng không đủ điều kiện</w:t>
      </w:r>
      <w:r w:rsidR="00BF008D" w:rsidRPr="004E401E">
        <w:rPr>
          <w:sz w:val="28"/>
          <w:szCs w:val="26"/>
          <w:lang w:val="nl-NL"/>
        </w:rPr>
        <w:t xml:space="preserve"> và đủ điều kiện</w:t>
      </w:r>
      <w:r w:rsidR="001B7845" w:rsidRPr="004E401E">
        <w:rPr>
          <w:sz w:val="28"/>
          <w:szCs w:val="26"/>
          <w:lang w:val="nl-NL"/>
        </w:rPr>
        <w:t xml:space="preserve"> tham </w:t>
      </w:r>
      <w:r w:rsidR="00B85E1C" w:rsidRPr="004E401E">
        <w:rPr>
          <w:sz w:val="28"/>
          <w:szCs w:val="26"/>
          <w:lang w:val="vi-VN"/>
        </w:rPr>
        <w:t>gia</w:t>
      </w:r>
      <w:r w:rsidR="001B7845" w:rsidRPr="004E401E">
        <w:rPr>
          <w:sz w:val="28"/>
          <w:szCs w:val="26"/>
          <w:lang w:val="nl-NL"/>
        </w:rPr>
        <w:t xml:space="preserve"> đấu giá</w:t>
      </w:r>
      <w:r w:rsidR="00BF008D" w:rsidRPr="004E401E">
        <w:rPr>
          <w:sz w:val="28"/>
          <w:szCs w:val="26"/>
          <w:lang w:val="nl-NL"/>
        </w:rPr>
        <w:t xml:space="preserve"> tài sản trên</w:t>
      </w:r>
      <w:r w:rsidR="00CC5067" w:rsidRPr="004E401E">
        <w:rPr>
          <w:sz w:val="28"/>
          <w:szCs w:val="26"/>
          <w:lang w:val="nl-NL"/>
        </w:rPr>
        <w:t xml:space="preserve"> như sau:</w:t>
      </w:r>
      <w:r w:rsidR="00F4798D" w:rsidRPr="004E401E">
        <w:rPr>
          <w:sz w:val="28"/>
          <w:szCs w:val="26"/>
          <w:lang w:val="nl-NL"/>
        </w:rPr>
        <w:t xml:space="preserve"> </w:t>
      </w:r>
      <w:r w:rsidR="00C40568" w:rsidRPr="004E401E">
        <w:rPr>
          <w:sz w:val="28"/>
          <w:szCs w:val="26"/>
          <w:lang w:val="nl-NL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409"/>
        <w:gridCol w:w="1985"/>
        <w:gridCol w:w="2551"/>
        <w:gridCol w:w="2127"/>
      </w:tblGrid>
      <w:tr w:rsidR="004E401E" w:rsidRPr="004E401E" w:rsidTr="00E41DA4">
        <w:trPr>
          <w:trHeight w:val="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401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E401E">
              <w:rPr>
                <w:b/>
                <w:bCs/>
                <w:sz w:val="26"/>
                <w:szCs w:val="26"/>
                <w:lang w:val="vi-VN"/>
              </w:rPr>
              <w:t>Tên khách hàng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401E" w:rsidRPr="004E401E" w:rsidRDefault="004E401E" w:rsidP="00AD08F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401E">
              <w:rPr>
                <w:b/>
                <w:bCs/>
                <w:sz w:val="26"/>
                <w:szCs w:val="26"/>
              </w:rPr>
              <w:t>Số CCCD/GPKD</w:t>
            </w:r>
          </w:p>
        </w:tc>
        <w:tc>
          <w:tcPr>
            <w:tcW w:w="2551" w:type="dxa"/>
            <w:vAlign w:val="center"/>
          </w:tcPr>
          <w:p w:rsidR="004E401E" w:rsidRPr="004E401E" w:rsidRDefault="004E401E" w:rsidP="00F9592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401E">
              <w:rPr>
                <w:b/>
                <w:bCs/>
                <w:sz w:val="26"/>
                <w:szCs w:val="26"/>
              </w:rPr>
              <w:t>Không đủ điều kiện tham gia đấu giá</w:t>
            </w:r>
          </w:p>
        </w:tc>
        <w:tc>
          <w:tcPr>
            <w:tcW w:w="2127" w:type="dxa"/>
          </w:tcPr>
          <w:p w:rsidR="004E401E" w:rsidRPr="004E401E" w:rsidRDefault="00F95929" w:rsidP="005D5D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</w:t>
            </w:r>
            <w:r w:rsidRPr="004E401E">
              <w:rPr>
                <w:b/>
                <w:bCs/>
                <w:sz w:val="26"/>
                <w:szCs w:val="26"/>
              </w:rPr>
              <w:t>ủ điền kiện tham gia đấu giá</w:t>
            </w:r>
          </w:p>
        </w:tc>
      </w:tr>
      <w:tr w:rsidR="004E401E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E401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401E" w:rsidRPr="004E401E" w:rsidRDefault="004E401E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Nguyễn Văn Chiến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001066016046</w:t>
            </w:r>
          </w:p>
        </w:tc>
        <w:tc>
          <w:tcPr>
            <w:tcW w:w="2551" w:type="dxa"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E401E">
              <w:rPr>
                <w:sz w:val="26"/>
                <w:szCs w:val="26"/>
                <w:lang w:val="vi-VN"/>
              </w:rPr>
              <w:t>Không nộp Tiền</w:t>
            </w:r>
            <w:r w:rsidRPr="004E401E">
              <w:rPr>
                <w:sz w:val="26"/>
                <w:szCs w:val="26"/>
              </w:rPr>
              <w:t xml:space="preserve"> hồ sơ và Tiền</w:t>
            </w:r>
            <w:r w:rsidRPr="004E401E">
              <w:rPr>
                <w:sz w:val="26"/>
                <w:szCs w:val="26"/>
                <w:lang w:val="vi-VN"/>
              </w:rPr>
              <w:t xml:space="preserve"> đặt trước</w:t>
            </w:r>
          </w:p>
        </w:tc>
        <w:tc>
          <w:tcPr>
            <w:tcW w:w="2127" w:type="dxa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E401E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401E" w:rsidRPr="004E401E" w:rsidRDefault="004E401E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Nguyễn Quốc Chính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026070000043</w:t>
            </w:r>
          </w:p>
        </w:tc>
        <w:tc>
          <w:tcPr>
            <w:tcW w:w="2551" w:type="dxa"/>
            <w:vAlign w:val="center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E401E">
              <w:rPr>
                <w:sz w:val="26"/>
                <w:szCs w:val="26"/>
                <w:lang w:val="vi-VN"/>
              </w:rPr>
              <w:t>Không nộp Tiền</w:t>
            </w:r>
            <w:r w:rsidRPr="004E401E">
              <w:rPr>
                <w:sz w:val="26"/>
                <w:szCs w:val="26"/>
              </w:rPr>
              <w:t xml:space="preserve"> hồ sơ và Tiền</w:t>
            </w:r>
            <w:r w:rsidRPr="004E401E">
              <w:rPr>
                <w:sz w:val="26"/>
                <w:szCs w:val="26"/>
                <w:lang w:val="vi-VN"/>
              </w:rPr>
              <w:t xml:space="preserve"> đặt trước</w:t>
            </w:r>
          </w:p>
        </w:tc>
        <w:tc>
          <w:tcPr>
            <w:tcW w:w="2127" w:type="dxa"/>
          </w:tcPr>
          <w:p w:rsidR="004E401E" w:rsidRPr="004E401E" w:rsidRDefault="004E401E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95929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5929" w:rsidRPr="004E401E" w:rsidRDefault="00F95929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Nguyễn Duy Thái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002095008988</w:t>
            </w:r>
          </w:p>
        </w:tc>
        <w:tc>
          <w:tcPr>
            <w:tcW w:w="2551" w:type="dxa"/>
            <w:vAlign w:val="center"/>
          </w:tcPr>
          <w:p w:rsidR="00F95929" w:rsidRPr="00CC2C1A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F95929" w:rsidRPr="00CC2C1A" w:rsidRDefault="00F95929" w:rsidP="0034656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Đủ điều kiện</w:t>
            </w:r>
          </w:p>
        </w:tc>
      </w:tr>
      <w:tr w:rsidR="00F95929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5929" w:rsidRPr="004E401E" w:rsidRDefault="00F95929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Tăng Việt Thái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049092003930</w:t>
            </w:r>
          </w:p>
        </w:tc>
        <w:tc>
          <w:tcPr>
            <w:tcW w:w="2551" w:type="dxa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Align w:val="center"/>
          </w:tcPr>
          <w:p w:rsidR="00F95929" w:rsidRPr="004E401E" w:rsidRDefault="00F95929" w:rsidP="0034656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Đủ điều kiện</w:t>
            </w:r>
          </w:p>
        </w:tc>
      </w:tr>
      <w:tr w:rsidR="00F95929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5929" w:rsidRPr="004E401E" w:rsidRDefault="00F95929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Hoàng Trọng Đại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034096000568</w:t>
            </w:r>
          </w:p>
        </w:tc>
        <w:tc>
          <w:tcPr>
            <w:tcW w:w="2551" w:type="dxa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Align w:val="center"/>
          </w:tcPr>
          <w:p w:rsidR="00F95929" w:rsidRPr="004E401E" w:rsidRDefault="00F95929" w:rsidP="0034656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Đủ điều kiện</w:t>
            </w:r>
          </w:p>
        </w:tc>
      </w:tr>
      <w:tr w:rsidR="00F95929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5929" w:rsidRPr="004E401E" w:rsidRDefault="00F95929" w:rsidP="00A530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Trần Quốc Sơn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031063002709</w:t>
            </w:r>
          </w:p>
        </w:tc>
        <w:tc>
          <w:tcPr>
            <w:tcW w:w="2551" w:type="dxa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Align w:val="center"/>
          </w:tcPr>
          <w:p w:rsidR="00F95929" w:rsidRPr="004E401E" w:rsidRDefault="00F95929" w:rsidP="0034656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Đủ điều kiện</w:t>
            </w:r>
          </w:p>
        </w:tc>
      </w:tr>
      <w:tr w:rsidR="00F95929" w:rsidRPr="004E401E" w:rsidTr="00E41DA4">
        <w:trPr>
          <w:trHeight w:val="703"/>
        </w:trPr>
        <w:tc>
          <w:tcPr>
            <w:tcW w:w="710" w:type="dxa"/>
            <w:shd w:val="clear" w:color="auto" w:fill="auto"/>
            <w:noWrap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5929" w:rsidRPr="004E401E" w:rsidRDefault="00F95929" w:rsidP="004E401E">
            <w:pPr>
              <w:jc w:val="both"/>
              <w:rPr>
                <w:sz w:val="26"/>
                <w:szCs w:val="26"/>
              </w:rPr>
            </w:pPr>
            <w:r w:rsidRPr="004E401E">
              <w:rPr>
                <w:sz w:val="26"/>
                <w:szCs w:val="26"/>
              </w:rPr>
              <w:t xml:space="preserve">Công ty </w:t>
            </w:r>
            <w:r>
              <w:rPr>
                <w:sz w:val="26"/>
                <w:szCs w:val="26"/>
              </w:rPr>
              <w:t>CP</w:t>
            </w:r>
            <w:r w:rsidRPr="004E401E">
              <w:rPr>
                <w:sz w:val="26"/>
                <w:szCs w:val="26"/>
              </w:rPr>
              <w:t xml:space="preserve"> đầu tư phát triển tổng hợp Minh Thành Phát (</w:t>
            </w:r>
            <w:r>
              <w:rPr>
                <w:sz w:val="26"/>
                <w:szCs w:val="26"/>
              </w:rPr>
              <w:t>Tô Thị Nhung – TGĐ)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0105547590</w:t>
            </w:r>
          </w:p>
        </w:tc>
        <w:tc>
          <w:tcPr>
            <w:tcW w:w="2551" w:type="dxa"/>
            <w:vAlign w:val="center"/>
          </w:tcPr>
          <w:p w:rsidR="00F95929" w:rsidRPr="004E401E" w:rsidRDefault="00F95929" w:rsidP="005D5D9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Align w:val="center"/>
          </w:tcPr>
          <w:p w:rsidR="00F95929" w:rsidRPr="004E401E" w:rsidRDefault="00F95929" w:rsidP="0034656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Đủ điều kiện</w:t>
            </w:r>
          </w:p>
        </w:tc>
      </w:tr>
    </w:tbl>
    <w:p w:rsidR="006F627E" w:rsidRPr="00C23747" w:rsidRDefault="004852B1" w:rsidP="004852B1">
      <w:pPr>
        <w:spacing w:after="120"/>
        <w:jc w:val="both"/>
      </w:pPr>
      <w:bookmarkStart w:id="0" w:name="_GoBack"/>
      <w:bookmarkEnd w:id="0"/>
      <w:r>
        <w:lastRenderedPageBreak/>
        <w:tab/>
      </w:r>
      <w:r w:rsidR="006F627E" w:rsidRPr="00C23747">
        <w:t xml:space="preserve">Khách hàng có tên trong danh sách không đủ điều kiện tham </w:t>
      </w:r>
      <w:r w:rsidR="00B85E1C" w:rsidRPr="00C23747">
        <w:rPr>
          <w:lang w:val="vi-VN"/>
        </w:rPr>
        <w:t>gia</w:t>
      </w:r>
      <w:r w:rsidR="006F627E" w:rsidRPr="00C23747">
        <w:t xml:space="preserve"> đấu giá</w:t>
      </w:r>
      <w:r w:rsidR="00727AC3" w:rsidRPr="00C23747">
        <w:rPr>
          <w:lang w:val="vi-VN"/>
        </w:rPr>
        <w:t xml:space="preserve"> tài sản</w:t>
      </w:r>
      <w:r w:rsidR="006F627E" w:rsidRPr="00C23747">
        <w:t xml:space="preserve"> nếu có thắc mắc</w:t>
      </w:r>
      <w:r w:rsidR="00231DC9" w:rsidRPr="00C23747">
        <w:t xml:space="preserve"> xin liên hệ tới Công ty Đấu giá hợp danh </w:t>
      </w:r>
      <w:r w:rsidR="008008DD">
        <w:t>Thiên Long</w:t>
      </w:r>
      <w:r w:rsidR="00727AC3" w:rsidRPr="00C23747">
        <w:t xml:space="preserve"> trước thời gian tổ chức phiên</w:t>
      </w:r>
      <w:r w:rsidR="00231DC9" w:rsidRPr="00C23747">
        <w:t xml:space="preserve"> đấu giá để được giải đáp kịp thời.</w:t>
      </w:r>
      <w:r w:rsidR="004C29BA">
        <w:t xml:space="preserve"> </w:t>
      </w:r>
    </w:p>
    <w:p w:rsidR="006F6AA2" w:rsidRPr="00F173E2" w:rsidRDefault="004852B1" w:rsidP="004852B1">
      <w:pPr>
        <w:spacing w:after="120"/>
        <w:jc w:val="both"/>
      </w:pPr>
      <w:r>
        <w:tab/>
      </w:r>
      <w:r w:rsidR="00B0182A" w:rsidRPr="00F173E2">
        <w:t>Mọi thắc mắc, quý khách xin liên hệ</w:t>
      </w:r>
      <w:r w:rsidR="00FE5A51" w:rsidRPr="00F173E2">
        <w:t xml:space="preserve"> (trong giờ hành chính, trừ thứ 7 </w:t>
      </w:r>
      <w:r w:rsidR="006F627E" w:rsidRPr="00F173E2">
        <w:t>và chủ nhật)</w:t>
      </w:r>
      <w:r w:rsidR="00B0182A" w:rsidRPr="00F173E2">
        <w:t xml:space="preserve">: </w:t>
      </w:r>
      <w:r w:rsidR="00492C52" w:rsidRPr="00F173E2">
        <w:rPr>
          <w:rFonts w:eastAsia="Calibri" w:cs=".VnTime"/>
          <w:noProof/>
          <w:szCs w:val="28"/>
          <w:lang w:val="vi-VN"/>
        </w:rPr>
        <w:t xml:space="preserve">Công ty </w:t>
      </w:r>
      <w:r w:rsidR="00492C52" w:rsidRPr="00F173E2">
        <w:rPr>
          <w:rFonts w:eastAsia="Calibri" w:cs=".VnTime"/>
          <w:noProof/>
          <w:szCs w:val="28"/>
          <w:lang w:val="en-GB"/>
        </w:rPr>
        <w:t>Đ</w:t>
      </w:r>
      <w:r w:rsidR="00492C52" w:rsidRPr="00F173E2">
        <w:rPr>
          <w:rFonts w:eastAsia="Calibri" w:cs=".VnTime"/>
          <w:noProof/>
          <w:szCs w:val="28"/>
          <w:lang w:val="vi-VN"/>
        </w:rPr>
        <w:t>ấu giá Hợp danh Thiên Long</w:t>
      </w:r>
      <w:r w:rsidR="00492C52" w:rsidRPr="00F173E2">
        <w:rPr>
          <w:rFonts w:eastAsia="Calibri" w:cs=".VnTime"/>
          <w:noProof/>
          <w:szCs w:val="28"/>
        </w:rPr>
        <w:t xml:space="preserve">, địa chỉ: </w:t>
      </w:r>
      <w:r w:rsidR="00492C52" w:rsidRPr="00F173E2">
        <w:rPr>
          <w:rFonts w:cs=".VnTime"/>
          <w:szCs w:val="28"/>
          <w:lang w:val="nl-NL"/>
        </w:rPr>
        <w:t>số 15A Trần Khánh Dư, phường Nha Trang, tỉnh Khánh Hòa</w:t>
      </w:r>
      <w:r w:rsidR="00CE45E9" w:rsidRPr="00F173E2">
        <w:t>. Điện thoại:</w:t>
      </w:r>
      <w:r w:rsidR="00492C52" w:rsidRPr="00F173E2">
        <w:t xml:space="preserve"> 02583.887.458</w:t>
      </w:r>
      <w:r w:rsidR="00CE45E9" w:rsidRPr="00F173E2">
        <w:t>.</w:t>
      </w:r>
    </w:p>
    <w:p w:rsidR="00D60B68" w:rsidRPr="00D60B68" w:rsidRDefault="00D60B68" w:rsidP="00727AC3">
      <w:pPr>
        <w:tabs>
          <w:tab w:val="left" w:pos="6100"/>
        </w:tabs>
        <w:spacing w:line="276" w:lineRule="auto"/>
        <w:ind w:firstLine="567"/>
        <w:jc w:val="both"/>
        <w:rPr>
          <w:b/>
          <w:sz w:val="14"/>
          <w:szCs w:val="26"/>
        </w:rPr>
      </w:pPr>
    </w:p>
    <w:p w:rsidR="006A065C" w:rsidRPr="003C4330" w:rsidRDefault="006A065C" w:rsidP="00E37421">
      <w:pPr>
        <w:tabs>
          <w:tab w:val="left" w:pos="6100"/>
        </w:tabs>
        <w:spacing w:line="276" w:lineRule="auto"/>
        <w:ind w:firstLine="567"/>
        <w:jc w:val="both"/>
        <w:rPr>
          <w:sz w:val="18"/>
          <w:szCs w:val="26"/>
        </w:rPr>
      </w:pPr>
    </w:p>
    <w:p w:rsidR="00AB64E3" w:rsidRPr="00AA666A" w:rsidRDefault="00DF1A9B" w:rsidP="00DF1A9B">
      <w:pPr>
        <w:tabs>
          <w:tab w:val="left" w:pos="6100"/>
        </w:tabs>
        <w:spacing w:line="276" w:lineRule="auto"/>
        <w:ind w:right="567"/>
        <w:jc w:val="right"/>
        <w:rPr>
          <w:b/>
          <w:sz w:val="28"/>
          <w:szCs w:val="26"/>
          <w:lang w:val="vi-VN"/>
        </w:rPr>
      </w:pPr>
      <w:r w:rsidRPr="00AA666A">
        <w:rPr>
          <w:b/>
          <w:sz w:val="28"/>
          <w:szCs w:val="26"/>
          <w:lang w:val="vi-VN"/>
        </w:rPr>
        <w:t>CÔNG TY ĐẤU GIÁ HỢP DANH</w:t>
      </w:r>
    </w:p>
    <w:p w:rsidR="00DF1A9B" w:rsidRPr="006A5058" w:rsidRDefault="006A5058" w:rsidP="00DF1A9B">
      <w:pPr>
        <w:tabs>
          <w:tab w:val="left" w:pos="6100"/>
        </w:tabs>
        <w:spacing w:line="276" w:lineRule="auto"/>
        <w:ind w:right="1842"/>
        <w:jc w:val="right"/>
        <w:rPr>
          <w:b/>
          <w:sz w:val="28"/>
          <w:szCs w:val="26"/>
        </w:rPr>
      </w:pPr>
      <w:r>
        <w:rPr>
          <w:b/>
          <w:sz w:val="28"/>
          <w:szCs w:val="26"/>
        </w:rPr>
        <w:t>THIÊN LONG</w:t>
      </w:r>
    </w:p>
    <w:sectPr w:rsidR="00DF1A9B" w:rsidRPr="006A5058" w:rsidSect="003454BC">
      <w:footerReference w:type="default" r:id="rId7"/>
      <w:pgSz w:w="11907" w:h="16840" w:code="9"/>
      <w:pgMar w:top="1134" w:right="850" w:bottom="1134" w:left="1701" w:header="425" w:footer="4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EA" w:rsidRDefault="008576EA" w:rsidP="00CE45E9">
      <w:r>
        <w:separator/>
      </w:r>
    </w:p>
  </w:endnote>
  <w:endnote w:type="continuationSeparator" w:id="1">
    <w:p w:rsidR="008576EA" w:rsidRDefault="008576EA" w:rsidP="00CE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E9" w:rsidRDefault="00CE45E9">
    <w:pPr>
      <w:pStyle w:val="Footer"/>
      <w:jc w:val="center"/>
    </w:pPr>
  </w:p>
  <w:p w:rsidR="00CE45E9" w:rsidRDefault="00CE4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EA" w:rsidRDefault="008576EA" w:rsidP="00CE45E9">
      <w:r>
        <w:separator/>
      </w:r>
    </w:p>
  </w:footnote>
  <w:footnote w:type="continuationSeparator" w:id="1">
    <w:p w:rsidR="008576EA" w:rsidRDefault="008576EA" w:rsidP="00CE4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7722"/>
    <w:multiLevelType w:val="hybridMultilevel"/>
    <w:tmpl w:val="A6A2497C"/>
    <w:lvl w:ilvl="0" w:tplc="831C4F8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592D"/>
    <w:multiLevelType w:val="hybridMultilevel"/>
    <w:tmpl w:val="1D328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528E"/>
    <w:multiLevelType w:val="hybridMultilevel"/>
    <w:tmpl w:val="C9B249DA"/>
    <w:lvl w:ilvl="0" w:tplc="85462E70">
      <w:start w:val="1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6C1"/>
    <w:rsid w:val="00001FD2"/>
    <w:rsid w:val="000152BF"/>
    <w:rsid w:val="0003719C"/>
    <w:rsid w:val="000434B3"/>
    <w:rsid w:val="00063FDD"/>
    <w:rsid w:val="00074158"/>
    <w:rsid w:val="00080D8F"/>
    <w:rsid w:val="00086F39"/>
    <w:rsid w:val="0009210B"/>
    <w:rsid w:val="00096002"/>
    <w:rsid w:val="000A46C3"/>
    <w:rsid w:val="000B75CD"/>
    <w:rsid w:val="000C4D10"/>
    <w:rsid w:val="000C66E8"/>
    <w:rsid w:val="000D61A5"/>
    <w:rsid w:val="00111E4D"/>
    <w:rsid w:val="00117D20"/>
    <w:rsid w:val="00127DB8"/>
    <w:rsid w:val="00133131"/>
    <w:rsid w:val="00135FD9"/>
    <w:rsid w:val="001361A2"/>
    <w:rsid w:val="00171F69"/>
    <w:rsid w:val="00186B44"/>
    <w:rsid w:val="0019506E"/>
    <w:rsid w:val="001960FC"/>
    <w:rsid w:val="001B56DA"/>
    <w:rsid w:val="001B7845"/>
    <w:rsid w:val="001C2405"/>
    <w:rsid w:val="001D0677"/>
    <w:rsid w:val="001D6BAC"/>
    <w:rsid w:val="001E02F5"/>
    <w:rsid w:val="002042E8"/>
    <w:rsid w:val="00205DF4"/>
    <w:rsid w:val="00220084"/>
    <w:rsid w:val="00231DC9"/>
    <w:rsid w:val="00247BCF"/>
    <w:rsid w:val="00257235"/>
    <w:rsid w:val="002621B7"/>
    <w:rsid w:val="002A507B"/>
    <w:rsid w:val="002A5255"/>
    <w:rsid w:val="002B2A18"/>
    <w:rsid w:val="002B78D1"/>
    <w:rsid w:val="002D460D"/>
    <w:rsid w:val="002D712E"/>
    <w:rsid w:val="002F1574"/>
    <w:rsid w:val="002F1606"/>
    <w:rsid w:val="002F65C0"/>
    <w:rsid w:val="0030132C"/>
    <w:rsid w:val="0030756D"/>
    <w:rsid w:val="00311D68"/>
    <w:rsid w:val="00340569"/>
    <w:rsid w:val="003454BC"/>
    <w:rsid w:val="003B0FF3"/>
    <w:rsid w:val="003C4330"/>
    <w:rsid w:val="00400108"/>
    <w:rsid w:val="004104D2"/>
    <w:rsid w:val="00435310"/>
    <w:rsid w:val="00463E5F"/>
    <w:rsid w:val="0047197E"/>
    <w:rsid w:val="00477954"/>
    <w:rsid w:val="00484800"/>
    <w:rsid w:val="004852B1"/>
    <w:rsid w:val="00492C52"/>
    <w:rsid w:val="004A31E9"/>
    <w:rsid w:val="004B0E01"/>
    <w:rsid w:val="004C29BA"/>
    <w:rsid w:val="004C7DF1"/>
    <w:rsid w:val="004D0837"/>
    <w:rsid w:val="004E0180"/>
    <w:rsid w:val="004E401E"/>
    <w:rsid w:val="004F797F"/>
    <w:rsid w:val="005107F8"/>
    <w:rsid w:val="005273B3"/>
    <w:rsid w:val="0052743B"/>
    <w:rsid w:val="00544456"/>
    <w:rsid w:val="0055228B"/>
    <w:rsid w:val="00557E69"/>
    <w:rsid w:val="005777DB"/>
    <w:rsid w:val="00577AE0"/>
    <w:rsid w:val="00582EDA"/>
    <w:rsid w:val="005A358B"/>
    <w:rsid w:val="005C0C65"/>
    <w:rsid w:val="005C2590"/>
    <w:rsid w:val="005D5D98"/>
    <w:rsid w:val="005D7E88"/>
    <w:rsid w:val="005E23AF"/>
    <w:rsid w:val="005E2B96"/>
    <w:rsid w:val="00631F05"/>
    <w:rsid w:val="00653336"/>
    <w:rsid w:val="00654FC2"/>
    <w:rsid w:val="0066002D"/>
    <w:rsid w:val="00691C01"/>
    <w:rsid w:val="00692C6A"/>
    <w:rsid w:val="006A065C"/>
    <w:rsid w:val="006A5058"/>
    <w:rsid w:val="006D3504"/>
    <w:rsid w:val="006D4B33"/>
    <w:rsid w:val="006F627E"/>
    <w:rsid w:val="006F6AA2"/>
    <w:rsid w:val="006F6BA7"/>
    <w:rsid w:val="00700341"/>
    <w:rsid w:val="00705E35"/>
    <w:rsid w:val="00714850"/>
    <w:rsid w:val="00727AC3"/>
    <w:rsid w:val="00740DD0"/>
    <w:rsid w:val="00773EB2"/>
    <w:rsid w:val="00782F2A"/>
    <w:rsid w:val="007A407B"/>
    <w:rsid w:val="007A73CE"/>
    <w:rsid w:val="007B1453"/>
    <w:rsid w:val="007C0C68"/>
    <w:rsid w:val="007C7480"/>
    <w:rsid w:val="007E488E"/>
    <w:rsid w:val="007F4BDA"/>
    <w:rsid w:val="008008DD"/>
    <w:rsid w:val="00811793"/>
    <w:rsid w:val="0081346F"/>
    <w:rsid w:val="008523AC"/>
    <w:rsid w:val="008536C7"/>
    <w:rsid w:val="008576EA"/>
    <w:rsid w:val="00860310"/>
    <w:rsid w:val="00863CE8"/>
    <w:rsid w:val="00872FE3"/>
    <w:rsid w:val="008756C1"/>
    <w:rsid w:val="008838C0"/>
    <w:rsid w:val="008A1690"/>
    <w:rsid w:val="008B59B9"/>
    <w:rsid w:val="008C23F2"/>
    <w:rsid w:val="0090670C"/>
    <w:rsid w:val="00906AF5"/>
    <w:rsid w:val="00912F79"/>
    <w:rsid w:val="0091302E"/>
    <w:rsid w:val="00914E10"/>
    <w:rsid w:val="00916FFA"/>
    <w:rsid w:val="009414FF"/>
    <w:rsid w:val="00941BB8"/>
    <w:rsid w:val="00950F4E"/>
    <w:rsid w:val="00952417"/>
    <w:rsid w:val="00981228"/>
    <w:rsid w:val="0099703C"/>
    <w:rsid w:val="009A6A4B"/>
    <w:rsid w:val="009B0CF3"/>
    <w:rsid w:val="009B0EFE"/>
    <w:rsid w:val="009D6C31"/>
    <w:rsid w:val="009E03A7"/>
    <w:rsid w:val="00A004A0"/>
    <w:rsid w:val="00A126AD"/>
    <w:rsid w:val="00A21EF7"/>
    <w:rsid w:val="00A24369"/>
    <w:rsid w:val="00A357D3"/>
    <w:rsid w:val="00A530D4"/>
    <w:rsid w:val="00A573CB"/>
    <w:rsid w:val="00A64392"/>
    <w:rsid w:val="00A96BD1"/>
    <w:rsid w:val="00AA23B7"/>
    <w:rsid w:val="00AA666A"/>
    <w:rsid w:val="00AA7824"/>
    <w:rsid w:val="00AB0359"/>
    <w:rsid w:val="00AB64E3"/>
    <w:rsid w:val="00AC6289"/>
    <w:rsid w:val="00AD08FE"/>
    <w:rsid w:val="00AD1C9C"/>
    <w:rsid w:val="00AE27BC"/>
    <w:rsid w:val="00AE3D4C"/>
    <w:rsid w:val="00AE7951"/>
    <w:rsid w:val="00AF7F72"/>
    <w:rsid w:val="00B0182A"/>
    <w:rsid w:val="00B30D45"/>
    <w:rsid w:val="00B364D1"/>
    <w:rsid w:val="00B453D4"/>
    <w:rsid w:val="00B4560D"/>
    <w:rsid w:val="00B74E2C"/>
    <w:rsid w:val="00B85E1C"/>
    <w:rsid w:val="00BB1F97"/>
    <w:rsid w:val="00BB3AB1"/>
    <w:rsid w:val="00BC4F34"/>
    <w:rsid w:val="00BC6CD2"/>
    <w:rsid w:val="00BD5565"/>
    <w:rsid w:val="00BF008D"/>
    <w:rsid w:val="00BF5211"/>
    <w:rsid w:val="00C07FFB"/>
    <w:rsid w:val="00C103BE"/>
    <w:rsid w:val="00C11D2C"/>
    <w:rsid w:val="00C16CAC"/>
    <w:rsid w:val="00C23747"/>
    <w:rsid w:val="00C40568"/>
    <w:rsid w:val="00C52033"/>
    <w:rsid w:val="00C63B65"/>
    <w:rsid w:val="00C66D24"/>
    <w:rsid w:val="00C978D4"/>
    <w:rsid w:val="00CA2777"/>
    <w:rsid w:val="00CA534D"/>
    <w:rsid w:val="00CC2C1A"/>
    <w:rsid w:val="00CC5067"/>
    <w:rsid w:val="00CE45E9"/>
    <w:rsid w:val="00CE74EB"/>
    <w:rsid w:val="00D30CED"/>
    <w:rsid w:val="00D425C8"/>
    <w:rsid w:val="00D425EF"/>
    <w:rsid w:val="00D60B68"/>
    <w:rsid w:val="00D847A8"/>
    <w:rsid w:val="00D86E31"/>
    <w:rsid w:val="00DB39CF"/>
    <w:rsid w:val="00DC2438"/>
    <w:rsid w:val="00DD0D55"/>
    <w:rsid w:val="00DF1A9B"/>
    <w:rsid w:val="00E044B8"/>
    <w:rsid w:val="00E318AB"/>
    <w:rsid w:val="00E37421"/>
    <w:rsid w:val="00E41DA4"/>
    <w:rsid w:val="00E57233"/>
    <w:rsid w:val="00E73FBE"/>
    <w:rsid w:val="00E770F9"/>
    <w:rsid w:val="00E8350D"/>
    <w:rsid w:val="00E87D25"/>
    <w:rsid w:val="00E908F7"/>
    <w:rsid w:val="00EB3679"/>
    <w:rsid w:val="00EB439E"/>
    <w:rsid w:val="00F173E2"/>
    <w:rsid w:val="00F4798D"/>
    <w:rsid w:val="00F54CFC"/>
    <w:rsid w:val="00F6242E"/>
    <w:rsid w:val="00F65E8B"/>
    <w:rsid w:val="00F722BE"/>
    <w:rsid w:val="00F74957"/>
    <w:rsid w:val="00F94377"/>
    <w:rsid w:val="00F95929"/>
    <w:rsid w:val="00FB329E"/>
    <w:rsid w:val="00FB6491"/>
    <w:rsid w:val="00FC6693"/>
    <w:rsid w:val="00FD0731"/>
    <w:rsid w:val="00FE0C91"/>
    <w:rsid w:val="00FE19B5"/>
    <w:rsid w:val="00FE5A51"/>
    <w:rsid w:val="00FF35EC"/>
    <w:rsid w:val="00FF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C1"/>
    <w:pPr>
      <w:spacing w:after="0" w:line="240" w:lineRule="auto"/>
    </w:pPr>
    <w:rPr>
      <w:rFonts w:eastAsia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2D"/>
    <w:rPr>
      <w:rFonts w:ascii="Segoe UI" w:eastAsia="Times New Roman" w:hAnsi="Segoe UI" w:cs="Segoe UI"/>
      <w:sz w:val="18"/>
      <w:szCs w:val="18"/>
    </w:rPr>
  </w:style>
  <w:style w:type="paragraph" w:customStyle="1" w:styleId="Body1">
    <w:name w:val="Body 1"/>
    <w:rsid w:val="007A73CE"/>
    <w:pPr>
      <w:spacing w:after="0" w:line="240" w:lineRule="auto"/>
    </w:pPr>
    <w:rPr>
      <w:rFonts w:ascii="Helvetica" w:eastAsia="Arial Unicode MS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4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E9"/>
    <w:rPr>
      <w:rFonts w:eastAsia="Times New Roman" w:cs="Times New Roman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CE4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5E9"/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C1"/>
    <w:pPr>
      <w:spacing w:after="0" w:line="240" w:lineRule="auto"/>
    </w:pPr>
    <w:rPr>
      <w:rFonts w:eastAsia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2D"/>
    <w:rPr>
      <w:rFonts w:ascii="Segoe UI" w:eastAsia="Times New Roman" w:hAnsi="Segoe UI" w:cs="Segoe UI"/>
      <w:sz w:val="18"/>
      <w:szCs w:val="18"/>
    </w:rPr>
  </w:style>
  <w:style w:type="paragraph" w:customStyle="1" w:styleId="Body1">
    <w:name w:val="Body 1"/>
    <w:rsid w:val="007A73CE"/>
    <w:pPr>
      <w:spacing w:after="0" w:line="240" w:lineRule="auto"/>
    </w:pPr>
    <w:rPr>
      <w:rFonts w:ascii="Helvetica" w:eastAsia="Arial Unicode MS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4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E9"/>
    <w:rPr>
      <w:rFonts w:eastAsia="Times New Roman" w:cs="Times New Roman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CE4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5E9"/>
    <w:rPr>
      <w:rFonts w:eastAsia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123</cp:revision>
  <cp:lastPrinted>2026-03-11T02:49:00Z</cp:lastPrinted>
  <dcterms:created xsi:type="dcterms:W3CDTF">2025-07-31T15:51:00Z</dcterms:created>
  <dcterms:modified xsi:type="dcterms:W3CDTF">2026-04-10T01:00:00Z</dcterms:modified>
</cp:coreProperties>
</file>